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sz w:val="34"/>
          <w:szCs w:val="34"/>
          <w:u w:val="single"/>
        </w:rPr>
      </w:pPr>
      <w:r w:rsidDel="00000000" w:rsidR="00000000" w:rsidRPr="00000000">
        <w:rPr>
          <w:sz w:val="34"/>
          <w:szCs w:val="34"/>
          <w:u w:val="single"/>
          <w:rtl w:val="0"/>
        </w:rPr>
        <w:t xml:space="preserve">BRMS Mouse Breeding and Research Services Core Rigor and Reproducibility Statement</w:t>
      </w:r>
    </w:p>
    <w:p w:rsidR="00000000" w:rsidDel="00000000" w:rsidP="00000000" w:rsidRDefault="00000000" w:rsidRPr="00000000" w14:paraId="00000002">
      <w:pPr>
        <w:widowControl w:val="0"/>
        <w:spacing w:line="240" w:lineRule="auto"/>
        <w:ind w:left="0" w:firstLine="0"/>
        <w:rPr>
          <w:sz w:val="24"/>
          <w:szCs w:val="24"/>
        </w:rPr>
      </w:pPr>
      <w:r w:rsidDel="00000000" w:rsidR="00000000" w:rsidRPr="00000000">
        <w:rPr>
          <w:rtl w:val="0"/>
        </w:rPr>
      </w:r>
    </w:p>
    <w:p w:rsidR="00000000" w:rsidDel="00000000" w:rsidP="00000000" w:rsidRDefault="00000000" w:rsidRPr="00000000" w14:paraId="00000003">
      <w:pPr>
        <w:widowControl w:val="0"/>
        <w:spacing w:line="240" w:lineRule="auto"/>
        <w:ind w:left="0" w:firstLine="0"/>
        <w:rPr/>
      </w:pPr>
      <w:r w:rsidDel="00000000" w:rsidR="00000000" w:rsidRPr="00000000">
        <w:rPr>
          <w:rFonts w:ascii="Times New Roman" w:cs="Times New Roman" w:eastAsia="Times New Roman" w:hAnsi="Times New Roman"/>
          <w:sz w:val="27"/>
          <w:szCs w:val="27"/>
          <w:rtl w:val="0"/>
        </w:rPr>
        <w:t xml:space="preserve">The Breeding Core is staffed with highly trained professionals who adhere to standard operating procedures and undergo regular proficiency training to ensure that all experiments are conducted to the highest standards, ensuring the reproducibility of research. Comprehensive breeding records are maintained, documenting the genetic background, generation, and genotype of each mouse. The Breeding Core team collaborates with investigators to review study plans, providing recommendations on genetic factors such as background, generation, germline recombinase expression (maternal or paternal), expected genotypes, and mating schemes, all aimed at optimizing research outcomes. Additionally, outsourced automated genotyping services can be utilized to verify proper genotypes.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szvhvuffCPJD2HL158YL2nMU0A==">CgMxLjA4AHIhMXJwNGpqQjRDRUpLWnhwbmstY0YySE1kSktQTEFERWtv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