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76" w:lineRule="auto"/>
        <w:jc w:val="center"/>
        <w:rPr>
          <w:sz w:val="36"/>
          <w:szCs w:val="36"/>
          <w:u w:val="single"/>
        </w:rPr>
      </w:pPr>
      <w:r w:rsidDel="00000000" w:rsidR="00000000" w:rsidRPr="00000000">
        <w:rPr>
          <w:sz w:val="36"/>
          <w:szCs w:val="36"/>
          <w:u w:val="single"/>
          <w:rtl w:val="0"/>
        </w:rPr>
        <w:t xml:space="preserve">UW Humanized Mouse Core Rigor and Reproducibility Statement</w:t>
      </w:r>
    </w:p>
    <w:p w:rsidR="00000000" w:rsidDel="00000000" w:rsidP="00000000" w:rsidRDefault="00000000" w:rsidRPr="00000000" w14:paraId="00000002">
      <w:pPr>
        <w:widowControl w:val="0"/>
        <w:spacing w:after="240" w:before="240" w:line="240" w:lineRule="auto"/>
        <w:rPr/>
      </w:pPr>
      <w:r w:rsidDel="00000000" w:rsidR="00000000" w:rsidRPr="00000000">
        <w:rPr>
          <w:rtl w:val="0"/>
        </w:rPr>
        <w:t xml:space="preserve">The UW Humanized Mouse Core is in compliance with the NIH Policy on enhancing Reproducibility through Rigor and Transparency as described in NIH Guide Notice NOT-OD-15-103. Specifically, our experiments are designed to rigorously gather reproducible data regarding Human Immune System (HIS) mouse strains developed from various human tissue sources, including use of commonly-used control mice, as dictated by the experimental aims.  </w:t>
      </w:r>
    </w:p>
    <w:p w:rsidR="00000000" w:rsidDel="00000000" w:rsidP="00000000" w:rsidRDefault="00000000" w:rsidRPr="00000000" w14:paraId="00000003">
      <w:pPr>
        <w:widowControl w:val="0"/>
        <w:spacing w:after="240" w:before="240" w:line="240" w:lineRule="auto"/>
        <w:rPr/>
      </w:pPr>
      <w:r w:rsidDel="00000000" w:rsidR="00000000" w:rsidRPr="00000000">
        <w:rPr>
          <w:rtl w:val="0"/>
        </w:rPr>
        <w:t xml:space="preserve">Furthermore, we encourage reproducibility, rigor and transparency in our work by openly sharing the methods and models developed and used by the Core with outside investigators in a timely fashion.  Relevant biological variables are factored into research designs, and vertebrate animals and human subject considerations are addressed.  Strong justifications are given from an extensive set of references supporting our work (available upon request).  All tissue/cell samples are set up for use and distributed by the Core (e.g., thymus fragments, stem cells). The samples are labeled with cryo-resistant labels and all documentation is kept showing precise detail of each de-identified sample. </w:t>
      </w:r>
    </w:p>
    <w:p w:rsidR="00000000" w:rsidDel="00000000" w:rsidP="00000000" w:rsidRDefault="00000000" w:rsidRPr="00000000" w14:paraId="00000004">
      <w:pPr>
        <w:widowControl w:val="0"/>
        <w:spacing w:after="240" w:before="240" w:line="240" w:lineRule="auto"/>
        <w:rPr/>
      </w:pPr>
      <w:r w:rsidDel="00000000" w:rsidR="00000000" w:rsidRPr="00000000">
        <w:rPr>
          <w:rtl w:val="0"/>
        </w:rPr>
        <w:t xml:space="preserve">Core staff follow strict lab notebook guidelines and retention policies. All work done by the Core is regularly reviewed by the Director for accuracy and compliance with the highest level of scientific integrity. </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bpxK9SFc1VrBMfexSBjlXmiNTbA==">CgMxLjA4AHIhMVlsRF81SHNyTnpnRlppeE1mNTdRNDIxcklXaUJfSEIt</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