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sz w:val="32"/>
          <w:szCs w:val="32"/>
          <w:u w:val="single"/>
        </w:rPr>
      </w:pPr>
      <w:r w:rsidDel="00000000" w:rsidR="00000000" w:rsidRPr="00000000">
        <w:rPr>
          <w:sz w:val="32"/>
          <w:szCs w:val="32"/>
          <w:u w:val="single"/>
          <w:rtl w:val="0"/>
        </w:rPr>
        <w:t xml:space="preserve">Guidelines for Rigor and Reproducibility at the UW Madison SMPH Electron Microscopy (EM) Facility</w:t>
      </w:r>
    </w:p>
    <w:p w:rsidR="00000000" w:rsidDel="00000000" w:rsidP="00000000" w:rsidRDefault="00000000" w:rsidRPr="00000000" w14:paraId="00000002">
      <w:pPr>
        <w:jc w:val="center"/>
        <w:rPr>
          <w:sz w:val="32"/>
          <w:szCs w:val="32"/>
          <w:u w:val="single"/>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Experimental design : Investigators will consult with the SMPH EM facility staff when planning their EM experiment. This consultation will enable accurate determination of the kind of sample preparation required and the EM imaging modality that would be most beneficial for the experiment. The investigator should ensure an appropriate number of samples are processed and imaged (including replicates across conditions if needed)  for arriving at results with significant power. To this end, the investigator can consult with a statistician if needed.</w:t>
      </w:r>
    </w:p>
    <w:p w:rsidR="00000000" w:rsidDel="00000000" w:rsidP="00000000" w:rsidRDefault="00000000" w:rsidRPr="00000000" w14:paraId="00000004">
      <w:pPr>
        <w:rPr/>
      </w:pPr>
      <w:r w:rsidDel="00000000" w:rsidR="00000000" w:rsidRPr="00000000">
        <w:rPr>
          <w:rtl w:val="0"/>
        </w:rPr>
        <w:t xml:space="preserve">Experimental process : Depending on the EM modality needed for the experiment, either the investigator will operate the EM to acquire data of the highest quality and standard or the EM facility staff will image the samples to ensure high quality images. In the case of the investigator imaging samples, it is the responsibility of the investigator to ensure their team members are well trained on the instrument. The SMPH EM facility will work individually with research team members that need training on imaging samples at the EM to ensure optimal instrument operation and data generation. The SMPH EM facility staff will also ensure that all EM equipment are operating as expected and perform routine maintenance. Data handling/storage: It is the responsibility of the investigator to promptly store data acquired at the EM facility onto individual backup drives. No data will be stored locally at the facility. </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If using data generated by the 3View EM, investigators must acknowledge the UW 2020 WARF Discovery Award in all resulting publications.</w:t>
      </w:r>
    </w:p>
    <w:p w:rsidR="00000000" w:rsidDel="00000000" w:rsidP="00000000" w:rsidRDefault="00000000" w:rsidRPr="00000000" w14:paraId="00000007">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